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7" w:rsidRPr="002570EF" w:rsidRDefault="00382CC7" w:rsidP="00382CC7">
      <w:pPr>
        <w:pStyle w:val="Nessunaspaziatura"/>
        <w:jc w:val="right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2570EF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Fra tutte le attività che ci vengono richieste, </w:t>
      </w:r>
    </w:p>
    <w:p w:rsidR="00382CC7" w:rsidRPr="002570EF" w:rsidRDefault="00382CC7" w:rsidP="00382CC7">
      <w:pPr>
        <w:pStyle w:val="Nessunaspaziatura"/>
        <w:jc w:val="right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2570EF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l'interrelazione con le persone significative è la più ardua: </w:t>
      </w:r>
    </w:p>
    <w:p w:rsidR="00382CC7" w:rsidRPr="002570EF" w:rsidRDefault="00382CC7" w:rsidP="00382CC7">
      <w:pPr>
        <w:pStyle w:val="Nessunaspaziatura"/>
        <w:jc w:val="right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2570EF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le persone costituiscono decisamente il compito </w:t>
      </w:r>
    </w:p>
    <w:p w:rsidR="00382CC7" w:rsidRPr="002570EF" w:rsidRDefault="00382CC7" w:rsidP="00382CC7">
      <w:pPr>
        <w:pStyle w:val="Nessunaspaziatura"/>
        <w:jc w:val="right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2570EF">
        <w:rPr>
          <w:rFonts w:ascii="Times New Roman" w:hAnsi="Times New Roman" w:cs="Times New Roman"/>
          <w:i/>
          <w:sz w:val="20"/>
          <w:szCs w:val="20"/>
          <w:lang w:eastAsia="it-IT"/>
        </w:rPr>
        <w:t>più difficile che dobbiamo affrontare.</w:t>
      </w:r>
    </w:p>
    <w:p w:rsidR="00382CC7" w:rsidRPr="003171CD" w:rsidRDefault="00382CC7" w:rsidP="00382CC7">
      <w:pPr>
        <w:pStyle w:val="Nessunaspaziatura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71C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171CD">
        <w:rPr>
          <w:rFonts w:ascii="Times New Roman" w:hAnsi="Times New Roman" w:cs="Times New Roman"/>
          <w:b/>
          <w:sz w:val="20"/>
          <w:szCs w:val="20"/>
          <w:lang w:eastAsia="it-IT"/>
        </w:rPr>
        <w:t>Sullivan</w:t>
      </w:r>
      <w:proofErr w:type="spellEnd"/>
    </w:p>
    <w:p w:rsidR="00382CC7" w:rsidRPr="00C6723B" w:rsidRDefault="00382CC7" w:rsidP="00382CC7">
      <w:pPr>
        <w:pStyle w:val="Titolo1"/>
        <w:jc w:val="center"/>
        <w:rPr>
          <w:rFonts w:ascii="Times New Roman" w:hAnsi="Times New Roman" w:cs="Times New Roman"/>
          <w:color w:val="auto"/>
        </w:rPr>
      </w:pPr>
      <w:bookmarkStart w:id="0" w:name="_Toc279340302"/>
      <w:r w:rsidRPr="00C6723B">
        <w:rPr>
          <w:rFonts w:ascii="Times New Roman" w:hAnsi="Times New Roman" w:cs="Times New Roman"/>
          <w:color w:val="auto"/>
        </w:rPr>
        <w:t>Prefazione</w:t>
      </w:r>
      <w:bookmarkEnd w:id="0"/>
    </w:p>
    <w:p w:rsidR="00382CC7" w:rsidRDefault="00382CC7" w:rsidP="00382CC7">
      <w:pPr>
        <w:pStyle w:val="Nessunaspaziatura"/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382CC7" w:rsidRPr="002570EF" w:rsidRDefault="00382CC7" w:rsidP="00382CC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 xml:space="preserve">L’ispirazione del presente lavoro nasce dalle esperienze intraprese in questi anni accademici: l’esperienza in AIESEC l’associazione per la quale sono stata amministratore nell’anno 2009/2010 e il corso di Metodologie dell’Informazione e della Comunicazione effettuato presso l’Istituto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Fattorello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. Queste esperienze hanno evidenziato un comune denominatore: l’importanza delle </w:t>
      </w:r>
      <w:r w:rsidRPr="002570EF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relazioni interpersonali e il valore che risiede nelle connessioni tra le persone. 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 xml:space="preserve">In modo particolare, AIESEC,  mi ha permesso di sperimentare cosa significa lavorare in team, condividere obiettivi, emozioni, successi e insuccessi, </w:t>
      </w:r>
      <w:r>
        <w:rPr>
          <w:rFonts w:ascii="Times New Roman" w:hAnsi="Times New Roman" w:cs="Times New Roman"/>
          <w:i/>
          <w:sz w:val="24"/>
          <w:szCs w:val="24"/>
        </w:rPr>
        <w:t xml:space="preserve">di comprendere </w:t>
      </w:r>
      <w:r w:rsidRPr="002570EF">
        <w:rPr>
          <w:rFonts w:ascii="Times New Roman" w:hAnsi="Times New Roman" w:cs="Times New Roman"/>
          <w:i/>
          <w:sz w:val="24"/>
          <w:szCs w:val="24"/>
        </w:rPr>
        <w:t>il valore del net</w:t>
      </w:r>
      <w:r>
        <w:rPr>
          <w:rFonts w:ascii="Times New Roman" w:hAnsi="Times New Roman" w:cs="Times New Roman"/>
          <w:i/>
          <w:sz w:val="24"/>
          <w:szCs w:val="24"/>
        </w:rPr>
        <w:t>work personale e professionale  e del</w:t>
      </w:r>
      <w:r w:rsidRPr="002570EF">
        <w:rPr>
          <w:rFonts w:ascii="Times New Roman" w:hAnsi="Times New Roman" w:cs="Times New Roman"/>
          <w:i/>
          <w:sz w:val="24"/>
          <w:szCs w:val="24"/>
        </w:rPr>
        <w:t xml:space="preserve">la condivisione di conoscenza tra vecchi e nuovi membri sempre attraverso un rapporto alla pari. Di ogni esperienza, di ogni obiettivo raggiunto, quello che rimane sono le persone e tutto ciò che esse creano attraverso la relazione. 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 xml:space="preserve">Il corso di Metodologie dell’Informazione e della Comunicazione mi ha dato modo di scoprire gli ingredienti di una relazione di successo non solo </w:t>
      </w:r>
      <w:r>
        <w:rPr>
          <w:rFonts w:ascii="Times New Roman" w:hAnsi="Times New Roman" w:cs="Times New Roman"/>
          <w:i/>
          <w:sz w:val="24"/>
          <w:szCs w:val="24"/>
        </w:rPr>
        <w:t>su</w:t>
      </w:r>
      <w:r w:rsidRPr="002570EF">
        <w:rPr>
          <w:rFonts w:ascii="Times New Roman" w:hAnsi="Times New Roman" w:cs="Times New Roman"/>
          <w:i/>
          <w:sz w:val="24"/>
          <w:szCs w:val="24"/>
        </w:rPr>
        <w:t>l piano personale ma anche professionale.</w:t>
      </w:r>
    </w:p>
    <w:p w:rsidR="00382CC7" w:rsidRPr="002570EF" w:rsidRDefault="00382CC7" w:rsidP="00382CC7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Il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filo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conduttore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questo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elaborato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è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rappresentato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concetto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capitale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sociale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definito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Nahapiet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>Ghoshal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(1998) “</w:t>
      </w:r>
      <w:r w:rsidRPr="002570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 the sum of the actual and potential resources embedded within, available through, and derived from the network of relationships possessed by individual or social unit”.</w:t>
      </w:r>
    </w:p>
    <w:p w:rsidR="00382CC7" w:rsidRPr="002570EF" w:rsidRDefault="00382CC7" w:rsidP="00382C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Lo scopo del lavoro è stato quello di indagare l’aspetto umano dell’impresa, rappresentato da persone e relazioni, valutarne in maniera qualitativa l’importanza e studiarne gli effetti sul processo di creazione del valore. In particolare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ho</w:t>
      </w:r>
      <w:r w:rsidRPr="002570EF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cercato di dimostrare come le interazioni tra gli individui, sia formali sia informali, </w:t>
      </w:r>
      <w:r w:rsidRPr="002570EF">
        <w:rPr>
          <w:rFonts w:ascii="Times New Roman" w:hAnsi="Times New Roman" w:cs="Times New Roman"/>
          <w:i/>
          <w:sz w:val="24"/>
          <w:szCs w:val="24"/>
        </w:rPr>
        <w:t>opportunamente guidate dall’occhio attento e vigile dell’organo di governo, pos</w:t>
      </w:r>
      <w:r>
        <w:rPr>
          <w:rFonts w:ascii="Times New Roman" w:hAnsi="Times New Roman" w:cs="Times New Roman"/>
          <w:i/>
          <w:sz w:val="24"/>
          <w:szCs w:val="24"/>
        </w:rPr>
        <w:t xml:space="preserve">sano creare valore nell’ </w:t>
      </w:r>
      <w:r w:rsidRPr="002570EF">
        <w:rPr>
          <w:rFonts w:ascii="Times New Roman" w:hAnsi="Times New Roman" w:cs="Times New Roman"/>
          <w:i/>
          <w:sz w:val="24"/>
          <w:szCs w:val="24"/>
        </w:rPr>
        <w:t>organizzazione in termini di nuova conoscenza e innovazione.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Il punto di partenza è rappresentato dalla critica ai modelli costruiti dalle teorie classiche e neoclassiche, che astraggono le relazioni sociali e le loro strutture dall’azione economica. L’azione economica risulta essere “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embedded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>” ovvero radicata nelle relazioni sociali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Granovetter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1985).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L’analisi prosegue nel dilemma</w:t>
      </w:r>
      <w:r w:rsidRPr="002570EF">
        <w:rPr>
          <w:rFonts w:ascii="Times New Roman" w:hAnsi="Times New Roman" w:cs="Times New Roman"/>
          <w:i/>
          <w:sz w:val="24"/>
          <w:szCs w:val="24"/>
        </w:rPr>
        <w:t xml:space="preserve"> legami forti - legami deboli:</w:t>
      </w:r>
      <w:r>
        <w:rPr>
          <w:rFonts w:ascii="Times New Roman" w:hAnsi="Times New Roman" w:cs="Times New Roman"/>
          <w:i/>
          <w:sz w:val="24"/>
          <w:szCs w:val="24"/>
        </w:rPr>
        <w:t xml:space="preserve"> cosa caratterizza le due tipologie di legame e quale di queste ci consente</w:t>
      </w:r>
      <w:r w:rsidRPr="002570EF">
        <w:rPr>
          <w:rFonts w:ascii="Times New Roman" w:hAnsi="Times New Roman" w:cs="Times New Roman"/>
          <w:i/>
          <w:sz w:val="24"/>
          <w:szCs w:val="24"/>
        </w:rPr>
        <w:t xml:space="preserve"> meglio di creare valore nella nostra organizzazione? 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Nel secondo capitolo,il focus è sulla interazione fra le due forme di capitale: il capitale sociale (inteso come funzione delle relazioni che le persone attivano) nelle sue dimensioni strutturale, relazionale, cognitiva e il capitale intellettuale nelle sue componenti capitale strutturale, capitale umano, capitale relazionale.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Ripercorrendo la letteratura esistente sul tema, ho cercato di rispondere a tali quesiti: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Quali sono le componenti del capitale intellettuale?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Quale influenza hanno le dimensioni del capitale sociale sul capitale intellettuale?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Quali azioni potrebbero essere suggerite al management per favorire la creazione di capitale sociale?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Nel terzo capitolo vengono affrontati due livelli di analisi: il primo riferisce all’influenza del capitale sociale sulle condizioni che permettono lo scambio/combinazione di conoscenza secondo il paradigma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socially-intellectual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, il secondo riferisce allo sviluppo della conoscenza organizzativa come conversione secondo il paradigma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intellectual-social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.  Il capitolo si conclude, mostrando come la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, può supportare la gestione dei rapporti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 e intersistemici. Si è cercato quindi di rispondere a due domande: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Che influenza hanno i processi sociali nel rendere accessibili le risorse, nel motivare allo scambio/combinazione delle risorse, nell’anticipare il valore della combinazione e sulla capacità di combinazione delle risorse? E sulla capacità di integrazione e assorbimento?</w:t>
      </w:r>
    </w:p>
    <w:p w:rsidR="00382CC7" w:rsidRPr="002570EF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Come si sviluppa la conoscenza organizzativa? Che influenza hanno i rapporti sociali nella conversione della conoscenza?</w:t>
      </w:r>
    </w:p>
    <w:p w:rsidR="00382CC7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>Sono quesiti che al giorno d’oggi, le aziende si devono porre e a cui devono dare le proprie risposte. Riuscire ad implementare una gestione strategica dell’interazione fra le due</w:t>
      </w:r>
      <w:r>
        <w:rPr>
          <w:rFonts w:ascii="Times New Roman" w:hAnsi="Times New Roman" w:cs="Times New Roman"/>
          <w:i/>
          <w:sz w:val="24"/>
          <w:szCs w:val="24"/>
        </w:rPr>
        <w:t xml:space="preserve"> forme di capitale può tradursi in </w:t>
      </w:r>
      <w:r w:rsidRPr="002570EF">
        <w:rPr>
          <w:rFonts w:ascii="Times New Roman" w:hAnsi="Times New Roman" w:cs="Times New Roman"/>
          <w:i/>
          <w:sz w:val="24"/>
          <w:szCs w:val="24"/>
        </w:rPr>
        <w:t xml:space="preserve">una competenza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firm-specific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, difficilmente imitabile dai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competitors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 xml:space="preserve"> proprio per la difficoltà di replicare i contenuti su cui si basano le relazioni mediate da risorse altrettante uniche: le risorse umane.  </w:t>
      </w:r>
    </w:p>
    <w:p w:rsidR="00382CC7" w:rsidRDefault="00382CC7" w:rsidP="00382CC7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F">
        <w:rPr>
          <w:rFonts w:ascii="Times New Roman" w:hAnsi="Times New Roman" w:cs="Times New Roman"/>
          <w:i/>
          <w:sz w:val="24"/>
          <w:szCs w:val="24"/>
        </w:rPr>
        <w:t xml:space="preserve">La chiave di svolta, è tutta nella gestione strategica delle relazioni in coerenza con l’obiettivo che ci si è prefissati. Non c’è una risposta che vada bene erga </w:t>
      </w:r>
      <w:proofErr w:type="spellStart"/>
      <w:r w:rsidRPr="002570EF">
        <w:rPr>
          <w:rFonts w:ascii="Times New Roman" w:hAnsi="Times New Roman" w:cs="Times New Roman"/>
          <w:i/>
          <w:sz w:val="24"/>
          <w:szCs w:val="24"/>
        </w:rPr>
        <w:t>omnes</w:t>
      </w:r>
      <w:proofErr w:type="spellEnd"/>
      <w:r w:rsidRPr="002570EF">
        <w:rPr>
          <w:rFonts w:ascii="Times New Roman" w:hAnsi="Times New Roman" w:cs="Times New Roman"/>
          <w:i/>
          <w:sz w:val="24"/>
          <w:szCs w:val="24"/>
        </w:rPr>
        <w:t>. L’organo di governo, seguendo un approccio sistemico alla gestione d’impresa, selezionerà volta per volta quali tra le relazioni possibili attiva</w:t>
      </w:r>
      <w:r>
        <w:rPr>
          <w:rFonts w:ascii="Times New Roman" w:hAnsi="Times New Roman" w:cs="Times New Roman"/>
          <w:i/>
          <w:sz w:val="24"/>
          <w:szCs w:val="24"/>
        </w:rPr>
        <w:t>re, come mantenere, sviluppare o eliminare</w:t>
      </w:r>
      <w:r w:rsidRPr="002570EF">
        <w:rPr>
          <w:rFonts w:ascii="Times New Roman" w:hAnsi="Times New Roman" w:cs="Times New Roman"/>
          <w:i/>
          <w:sz w:val="24"/>
          <w:szCs w:val="24"/>
        </w:rPr>
        <w:t xml:space="preserve">  quelle già attivate per mantenere viva la consonanza/risonanza con il contesto. </w:t>
      </w:r>
    </w:p>
    <w:p w:rsidR="004E62A5" w:rsidRDefault="00382CC7"/>
    <w:sectPr w:rsidR="004E62A5" w:rsidSect="00674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2CC7"/>
    <w:rsid w:val="00013CB5"/>
    <w:rsid w:val="00382CC7"/>
    <w:rsid w:val="00547885"/>
    <w:rsid w:val="006742B6"/>
    <w:rsid w:val="00B81695"/>
    <w:rsid w:val="00D52FC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CC7"/>
  </w:style>
  <w:style w:type="paragraph" w:styleId="Titolo1">
    <w:name w:val="heading 1"/>
    <w:basedOn w:val="Normale"/>
    <w:next w:val="Normale"/>
    <w:link w:val="Titolo1Carattere"/>
    <w:uiPriority w:val="9"/>
    <w:qFormat/>
    <w:rsid w:val="0038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82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2011-01-15T13:28:00Z</dcterms:created>
  <dcterms:modified xsi:type="dcterms:W3CDTF">2011-01-15T13:29:00Z</dcterms:modified>
</cp:coreProperties>
</file>